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2D9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b/>
          <w:bCs/>
          <w:color w:val="212529"/>
          <w:sz w:val="28"/>
          <w:szCs w:val="28"/>
        </w:rPr>
        <w:t>Послуги з посилення спроможностей ветеранам</w:t>
      </w:r>
      <w:r w:rsidRPr="0046246C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b/>
          <w:bCs/>
          <w:color w:val="212529"/>
          <w:sz w:val="28"/>
          <w:szCs w:val="28"/>
        </w:rPr>
        <w:t>із обмеженнями життєдіяльності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proofErr w:type="spellStart"/>
      <w:r w:rsidRPr="0046246C">
        <w:rPr>
          <w:rFonts w:ascii="Times New Roman" w:hAnsi="Times New Roman" w:cs="Times New Roman"/>
          <w:color w:val="212529"/>
          <w:sz w:val="28"/>
          <w:szCs w:val="28"/>
        </w:rPr>
        <w:t>Мінветеранів</w:t>
      </w:r>
      <w:proofErr w:type="spellEnd"/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розпочата реалізація експериментального проекту щодо надання послуг з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посилення спроможностей окремим категоріям осіб із обмеженнями життєдіяльності, які захищали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незалежність, суверенітет та територіальну цілісність України.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r w:rsidRPr="0046246C">
        <w:rPr>
          <w:rFonts w:ascii="Segoe UI Symbol" w:hAnsi="Segoe UI Symbol" w:cs="Segoe UI Symbol"/>
          <w:b/>
          <w:bCs/>
          <w:color w:val="212529"/>
          <w:sz w:val="28"/>
          <w:szCs w:val="28"/>
        </w:rPr>
        <w:t>🔹</w:t>
      </w:r>
      <w:r w:rsidRPr="0046246C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Що передбачає програма?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>Експериментальний проект зосереджується на персоналізованій допомозі та довготривалій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підтримці та передбачає: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>пост-реабілітаційну підтримку для забезпечення стійкого відновлення після основного курсу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реабілітації;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>навчання навичкам самообслуговування та основ догляду за собою для мінімізації залежності від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сторонньої допомоги;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>консультування щодо адаптації житла, транспортних засобів та робочих місць;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>створення умов для активної участі ветеранів й ветеранок у житті громади, сприяння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працевлаштуванню;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>навчання членів родини щодо особливостей життя ветеранів й ветеранок після поранення та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правил надання їм допомоги.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>До пакету входитимуть комплекс обов’язкових та варіативних послуг.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Segoe UI Symbol" w:hAnsi="Segoe UI Symbol" w:cs="Segoe UI Symbol"/>
          <w:color w:val="000000"/>
          <w:sz w:val="28"/>
          <w:szCs w:val="28"/>
        </w:rPr>
        <w:t>🔹</w:t>
      </w:r>
      <w:r w:rsidRPr="004624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Обов’язкові послуги: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>підготовка індивідуального плану з посилення спроможностей з урахуванням індивідуальних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>потреб;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допомога </w:t>
      </w:r>
      <w:proofErr w:type="spellStart"/>
      <w:r w:rsidRPr="0046246C">
        <w:rPr>
          <w:rFonts w:ascii="Times New Roman" w:hAnsi="Times New Roman" w:cs="Times New Roman"/>
          <w:color w:val="212529"/>
          <w:sz w:val="28"/>
          <w:szCs w:val="28"/>
        </w:rPr>
        <w:t>реабілітолога</w:t>
      </w:r>
      <w:proofErr w:type="spellEnd"/>
      <w:r w:rsidRPr="0046246C">
        <w:rPr>
          <w:rFonts w:ascii="Times New Roman" w:hAnsi="Times New Roman" w:cs="Times New Roman"/>
          <w:color w:val="212529"/>
          <w:sz w:val="28"/>
          <w:szCs w:val="28"/>
        </w:rPr>
        <w:t>;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>навчання навичкам самообслуговування, самостійності та основ догляду за собою;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>навчання методам влаштування доступного, безпечного і ергономічного функціонального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середовища вдома, на роботі, в громадських місцях;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>психологічна допомога.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Segoe UI Symbol" w:hAnsi="Segoe UI Symbol" w:cs="Segoe UI Symbol"/>
          <w:color w:val="000000"/>
          <w:sz w:val="28"/>
          <w:szCs w:val="28"/>
        </w:rPr>
        <w:t>🔹</w:t>
      </w:r>
      <w:r w:rsidRPr="004624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Варіативні послуги надаватимуться з урахуванням індивідуальних потреб та можуть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включати: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>послуги лікаря-дієтолога;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>послуги терапевта мови та мовлення;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>послуги щодо діагностики та лікування розладів сну тощо.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Послуги надаватимуться як окремо ветерану чи </w:t>
      </w:r>
      <w:proofErr w:type="spellStart"/>
      <w:r w:rsidRPr="0046246C">
        <w:rPr>
          <w:rFonts w:ascii="Times New Roman" w:hAnsi="Times New Roman" w:cs="Times New Roman"/>
          <w:color w:val="212529"/>
          <w:sz w:val="28"/>
          <w:szCs w:val="28"/>
        </w:rPr>
        <w:t>ветеранці</w:t>
      </w:r>
      <w:proofErr w:type="spellEnd"/>
      <w:r w:rsidRPr="0046246C">
        <w:rPr>
          <w:rFonts w:ascii="Times New Roman" w:hAnsi="Times New Roman" w:cs="Times New Roman"/>
          <w:color w:val="212529"/>
          <w:sz w:val="28"/>
          <w:szCs w:val="28"/>
        </w:rPr>
        <w:t>, так і в супроводі члена сім’ї.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624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Вимоги до потенційних надавачів послуг з посилення спроможностей</w:t>
      </w:r>
      <w:r w:rsidRPr="004624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Segoe UI Symbol" w:hAnsi="Segoe UI Symbol" w:cs="Segoe UI Symbol"/>
          <w:color w:val="000000"/>
          <w:sz w:val="28"/>
          <w:szCs w:val="28"/>
        </w:rPr>
        <w:t>🔹</w:t>
      </w:r>
      <w:r w:rsidRPr="004624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бути юридичною особою незалежно від форми власності, чи фізичною особою-підприємцем;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Segoe UI Symbol" w:hAnsi="Segoe UI Symbol" w:cs="Segoe UI Symbol"/>
          <w:color w:val="000000"/>
          <w:sz w:val="28"/>
          <w:szCs w:val="28"/>
        </w:rPr>
        <w:t>🔹</w:t>
      </w:r>
      <w:r w:rsidRPr="004624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не мати укладеного договору із НСЗУ за пакетами медичних послуг, що передбачають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надання реабілітаційної допомоги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Segoe UI Symbol" w:hAnsi="Segoe UI Symbol" w:cs="Segoe UI Symbol"/>
          <w:color w:val="000000"/>
          <w:sz w:val="28"/>
          <w:szCs w:val="28"/>
        </w:rPr>
        <w:t>🔹</w:t>
      </w:r>
      <w:r w:rsidRPr="004624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не отримувати оплату за надані соціальні послуги за рахунок коштів державного чи місцевих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бюджету;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Segoe UI Symbol" w:hAnsi="Segoe UI Symbol" w:cs="Segoe UI Symbol"/>
          <w:color w:val="000000"/>
          <w:sz w:val="28"/>
          <w:szCs w:val="28"/>
        </w:rPr>
        <w:lastRenderedPageBreak/>
        <w:t>🔹</w:t>
      </w:r>
      <w:r w:rsidRPr="004624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мати офіційні трудові відносини або цивільно-правові договори про надання послуг з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фахівцями, що безпосередньо надаватимуть послуги, чи будучи ФОП відповідати вимогам до </w:t>
      </w:r>
      <w:proofErr w:type="spellStart"/>
      <w:r w:rsidRPr="0046246C">
        <w:rPr>
          <w:rFonts w:ascii="Times New Roman" w:hAnsi="Times New Roman" w:cs="Times New Roman"/>
          <w:color w:val="212529"/>
          <w:sz w:val="28"/>
          <w:szCs w:val="28"/>
        </w:rPr>
        <w:t>фацівця</w:t>
      </w:r>
      <w:proofErr w:type="spellEnd"/>
      <w:r w:rsidRPr="0046246C">
        <w:rPr>
          <w:rFonts w:ascii="Times New Roman" w:hAnsi="Times New Roman" w:cs="Times New Roman"/>
          <w:color w:val="212529"/>
          <w:sz w:val="28"/>
          <w:szCs w:val="28"/>
        </w:rPr>
        <w:t>;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Segoe UI Symbol" w:hAnsi="Segoe UI Symbol" w:cs="Segoe UI Symbol"/>
          <w:color w:val="000000"/>
          <w:sz w:val="28"/>
          <w:szCs w:val="28"/>
        </w:rPr>
        <w:t>🔹</w:t>
      </w:r>
      <w:r w:rsidRPr="004624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перед початком надання послуг отримати інформовану добровільну згоду отримувача послуг;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Segoe UI Symbol" w:hAnsi="Segoe UI Symbol" w:cs="Segoe UI Symbol"/>
          <w:color w:val="000000"/>
          <w:sz w:val="28"/>
          <w:szCs w:val="28"/>
        </w:rPr>
        <w:t>🔹</w:t>
      </w:r>
      <w:r w:rsidRPr="004624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мати приміщення, що відповідають таким вимогам: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>кабінет (кабінети) для надання індивідуальних (сімейних або групових) послуг з посилення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спроможностей або можливість оренди такого (таких) кабінету (кабінетів);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>приміщення для проживання особи - отримувача послуг (у разі надання послуг з посилення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спроможностей стаціонарно) та членів його сім’ї, розташоване на першому поверсі, а в разі наявності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працюючих ліфтів чи підйомників можливе розміщення на інших поверхах;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>приміщення, облаштоване меблями та матеріалами, що симулюють облаштування житлового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помешкання для відновлення участі в </w:t>
      </w:r>
      <w:proofErr w:type="spellStart"/>
      <w:r w:rsidRPr="0046246C">
        <w:rPr>
          <w:rFonts w:ascii="Times New Roman" w:hAnsi="Times New Roman" w:cs="Times New Roman"/>
          <w:color w:val="212529"/>
          <w:sz w:val="28"/>
          <w:szCs w:val="28"/>
        </w:rPr>
        <w:t>активностях</w:t>
      </w:r>
      <w:proofErr w:type="spellEnd"/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повсякденного життя (шафи, стіл, стілець,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комп’ютер, телефон, дошка для прасування, праска, великий настінний годинник, календар, книги,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газети, журнали тощо);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>кухня та кухонні матеріали для відновлення участі в інструментальній активності повсякденного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життя (мийка, плита, мікрохвильова піч, холодильник, набір </w:t>
      </w:r>
      <w:proofErr w:type="spellStart"/>
      <w:r w:rsidRPr="0046246C">
        <w:rPr>
          <w:rFonts w:ascii="Times New Roman" w:hAnsi="Times New Roman" w:cs="Times New Roman"/>
          <w:color w:val="212529"/>
          <w:sz w:val="28"/>
          <w:szCs w:val="28"/>
        </w:rPr>
        <w:t>ерготерапевтичного</w:t>
      </w:r>
      <w:proofErr w:type="spellEnd"/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посуду, чайник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електричний);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>туалет та душ, обладнані відповідно до вимог державних будівельних норм В.2.2-40:2018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“</w:t>
      </w:r>
      <w:proofErr w:type="spellStart"/>
      <w:r w:rsidRPr="0046246C">
        <w:rPr>
          <w:rFonts w:ascii="Times New Roman" w:hAnsi="Times New Roman" w:cs="Times New Roman"/>
          <w:color w:val="212529"/>
          <w:sz w:val="28"/>
          <w:szCs w:val="28"/>
        </w:rPr>
        <w:t>Інклюзивність</w:t>
      </w:r>
      <w:proofErr w:type="spellEnd"/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будівель і споруд. Основні положення”.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>Приміщення та прилегла територія мають відповідають державним будівельним нормам В.2.2-40:2018 “</w:t>
      </w:r>
      <w:proofErr w:type="spellStart"/>
      <w:r w:rsidRPr="0046246C">
        <w:rPr>
          <w:rFonts w:ascii="Times New Roman" w:hAnsi="Times New Roman" w:cs="Times New Roman"/>
          <w:color w:val="212529"/>
          <w:sz w:val="28"/>
          <w:szCs w:val="28"/>
        </w:rPr>
        <w:t>Інклюзивність</w:t>
      </w:r>
      <w:proofErr w:type="spellEnd"/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будівель і споруд. Основні положення”, ДСТУ ISO 23599:2017, ДСТУ ISO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17049:2017, санітарним нормам та вимогам доступності дл</w:t>
      </w:r>
      <w:bookmarkStart w:id="0" w:name="_GoBack"/>
      <w:bookmarkEnd w:id="0"/>
      <w:r w:rsidRPr="0046246C">
        <w:rPr>
          <w:rFonts w:ascii="Times New Roman" w:hAnsi="Times New Roman" w:cs="Times New Roman"/>
          <w:color w:val="212529"/>
          <w:sz w:val="28"/>
          <w:szCs w:val="28"/>
        </w:rPr>
        <w:t>я осіб з обмеженням повсякденного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функціонування (включаючи адаптовані санвузли, пандуси/ліфти), а також забезпеченість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спеціалізованим обладнанням та технічними засобами для навчання осіб з обмеженням повсякденного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функціонування;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>Вимоги до фахівців, які надають послуги: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Segoe UI Symbol" w:hAnsi="Segoe UI Symbol" w:cs="Segoe UI Symbol"/>
          <w:color w:val="000000"/>
          <w:sz w:val="28"/>
          <w:szCs w:val="28"/>
        </w:rPr>
        <w:t>🔹</w:t>
      </w:r>
      <w:r w:rsidRPr="004624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обов’язково щонайменше один фахівець із вищою освітою другого (магістерського) рівня за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спеціальністю “Психологія”, “Медична психологія” чи “Медицина” (спеціалізація за фахом “Медична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психологія”, “Психотерапія”, “Психіатрія”, “Психофізіологія”) або за спеціальністю “Психологія”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(спеціалізація за фахом “Клінічний психолог”);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Segoe UI Symbol" w:hAnsi="Segoe UI Symbol" w:cs="Segoe UI Symbol"/>
          <w:color w:val="212529"/>
          <w:sz w:val="28"/>
          <w:szCs w:val="28"/>
        </w:rPr>
        <w:t>🔹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обов’язково щонайменше один фахівець із вищою освітою другого (магістерського) рівня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галузі знань “Охорона здоров’я та соціальне забезпечення” за спеціальністю “Терапія та реабілітація”,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спеціалізація за дипломом “</w:t>
      </w:r>
      <w:proofErr w:type="spellStart"/>
      <w:r w:rsidRPr="0046246C">
        <w:rPr>
          <w:rFonts w:ascii="Times New Roman" w:hAnsi="Times New Roman" w:cs="Times New Roman"/>
          <w:color w:val="212529"/>
          <w:sz w:val="28"/>
          <w:szCs w:val="28"/>
        </w:rPr>
        <w:t>Ерготерапія</w:t>
      </w:r>
      <w:proofErr w:type="spellEnd"/>
      <w:r w:rsidRPr="0046246C">
        <w:rPr>
          <w:rFonts w:ascii="Times New Roman" w:hAnsi="Times New Roman" w:cs="Times New Roman"/>
          <w:color w:val="212529"/>
          <w:sz w:val="28"/>
          <w:szCs w:val="28"/>
        </w:rPr>
        <w:t>”; або вищої освіти другого (магістерського) рівня галузі знань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“Освіта” за спеціальністю “Фізична культура і спорт”;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Segoe UI Symbol" w:hAnsi="Segoe UI Symbol" w:cs="Segoe UI Symbol"/>
          <w:color w:val="212529"/>
          <w:sz w:val="28"/>
          <w:szCs w:val="28"/>
        </w:rPr>
        <w:t>🔹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обов’язково щонайменше один фахівець із вищою освітою другого (магістерського) рівня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галузі знань “Охорона здоров’я та соціальне забезпечення” за спеціальністю “Медицина”, спеціалізація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за фахом “Фізична та реабілітаційна медицина”; або вищою освітою другого (магістерського) рівня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галузі знань “Охорона здоров’я та соціальне забезпечення” за спеціальністю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lastRenderedPageBreak/>
        <w:t>“Терапія та реабілітація”,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спеціалізація за дипломом “Фізична терапія”; або вищою освітою другого (магістерського) рівня галузі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знань “Фізичне виховання, спорт і здоров’я людини” за спеціальністю “Освіта” або “Фізична культура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і спорт”.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>У разі надання варіативних послуг фахівці повинні відповідати таким вимогам: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Segoe UI Symbol" w:hAnsi="Segoe UI Symbol" w:cs="Segoe UI Symbol"/>
          <w:color w:val="212529"/>
          <w:sz w:val="28"/>
          <w:szCs w:val="28"/>
        </w:rPr>
        <w:t>🔹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у разі надання послуг консультування щодо лікувального і лікувально-профілактичного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харчування - вищої освіти другого (магістерського) рівня за напрямом підготовки “Медицина”,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спеціальністю “Лікувальна справа”, проходження інтернатури за спеціальністю “Терапія” з вступною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спеціалізацією “Дієтологія”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;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Segoe UI Symbol" w:hAnsi="Segoe UI Symbol" w:cs="Segoe UI Symbol"/>
          <w:color w:val="212529"/>
          <w:sz w:val="28"/>
          <w:szCs w:val="28"/>
        </w:rPr>
        <w:t>🔹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у разі надання послуг щодо діагностики, профілактики та корекції порушень мовлення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–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вищої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освіти другого (магістерського) рівня галузі знань “Соціальні науки, журналістика та інформація” за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спеціальністю “Психологія”; або вищої освіти другого (магістерського) рівня галузі знань “Освіта” за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спеціальністю “Спеціальна освіта”; або вищої освіти другого (магістерського) рівня галузі знань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“Культура, мистецтво та гуманітарні науки” за спеціальністю “Філологія”; або вищої освіти другого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(магістерського) рівня галузі знань “Охорона здоров’я та соціальне забезпечення” за спеціальністю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“Медична психологія”;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Segoe UI Symbol" w:hAnsi="Segoe UI Symbol" w:cs="Segoe UI Symbol"/>
          <w:color w:val="212529"/>
          <w:sz w:val="28"/>
          <w:szCs w:val="28"/>
        </w:rPr>
        <w:t>🔹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вища освіта за іншими спеціальностями галузей знань “Освіта”, “Бізнес, адміністрування та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право”, “Освіта”, “Охорона здоров’я та соціальне забезпечення”, “Соціальні науки, журналістика та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інформація” згідно з переліками галузей знань, напрямів та спеціальностей, за якими здійснюється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(здійснювалася) підготовка здобувачів вищої освіти у закладах вищої освіти.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Кількісний склад фахівців суб’єкта надання послуг та працівників, що забезпечують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функціонування, життєдіяльність та обслуговування приміщень суб’єкта надання послуг, визначається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з урахуванням кількості ветеранів, які одночасно отримують послуги з посилення спроможностей,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ступеня важкості обмежень життєдіяльності ветеранів та навантаження фахівців.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r w:rsidRPr="0046246C">
        <w:rPr>
          <w:rFonts w:ascii="Segoe UI Symbol" w:hAnsi="Segoe UI Symbol" w:cs="Segoe UI Symbol"/>
          <w:color w:val="212529"/>
          <w:sz w:val="28"/>
          <w:szCs w:val="28"/>
        </w:rPr>
        <w:t>❗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️ </w:t>
      </w:r>
      <w:r w:rsidRPr="0046246C">
        <w:rPr>
          <w:rFonts w:ascii="Times New Roman" w:hAnsi="Times New Roman" w:cs="Times New Roman"/>
          <w:b/>
          <w:bCs/>
          <w:color w:val="212529"/>
          <w:sz w:val="28"/>
          <w:szCs w:val="28"/>
        </w:rPr>
        <w:t>Алгоритм дій, щоб стати надавачем послуг з посилення спроможностей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Крок 1.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Відправити заяву та наступні документи на електронну адресу </w:t>
      </w:r>
      <w:r w:rsidRPr="0046246C">
        <w:rPr>
          <w:rFonts w:ascii="Times New Roman" w:hAnsi="Times New Roman" w:cs="Times New Roman"/>
          <w:color w:val="0000FF"/>
          <w:sz w:val="28"/>
          <w:szCs w:val="28"/>
        </w:rPr>
        <w:t>control@mva.gov.ua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,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>а саме: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>1) заяву про включення до програми;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>2) інформацію та копії документів, що підтверджують наявність трудових або цивільно-правових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відносин фахівців із заявником, відповідність кваліфікації фахівців вимогам програми;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>3) довідку у довільній формі про відсутність отримання суб’єктом надання послуг коштів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>державного бюджету чи місцевих бюджетів за надання соціальних послуг.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Крок 2.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Отримати рішення </w:t>
      </w:r>
      <w:proofErr w:type="spellStart"/>
      <w:r w:rsidRPr="0046246C">
        <w:rPr>
          <w:rFonts w:ascii="Times New Roman" w:hAnsi="Times New Roman" w:cs="Times New Roman"/>
          <w:color w:val="212529"/>
          <w:sz w:val="28"/>
          <w:szCs w:val="28"/>
        </w:rPr>
        <w:t>Мінветеранів</w:t>
      </w:r>
      <w:proofErr w:type="spellEnd"/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Після прийняття рішення </w:t>
      </w:r>
      <w:proofErr w:type="spellStart"/>
      <w:r w:rsidRPr="0046246C">
        <w:rPr>
          <w:rFonts w:ascii="Times New Roman" w:hAnsi="Times New Roman" w:cs="Times New Roman"/>
          <w:color w:val="212529"/>
          <w:sz w:val="28"/>
          <w:szCs w:val="28"/>
        </w:rPr>
        <w:t>Мінветеранів</w:t>
      </w:r>
      <w:proofErr w:type="spellEnd"/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 направить повідомлення з роз’ясненням подальших дій.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46246C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Крок 3. </w:t>
      </w:r>
      <w:r w:rsidRPr="0046246C">
        <w:rPr>
          <w:rFonts w:ascii="Times New Roman" w:hAnsi="Times New Roman" w:cs="Times New Roman"/>
          <w:color w:val="212529"/>
          <w:sz w:val="28"/>
          <w:szCs w:val="28"/>
        </w:rPr>
        <w:t xml:space="preserve">Підписати договір із </w:t>
      </w:r>
      <w:proofErr w:type="spellStart"/>
      <w:r w:rsidRPr="0046246C">
        <w:rPr>
          <w:rFonts w:ascii="Times New Roman" w:hAnsi="Times New Roman" w:cs="Times New Roman"/>
          <w:color w:val="212529"/>
          <w:sz w:val="28"/>
          <w:szCs w:val="28"/>
        </w:rPr>
        <w:t>Мінветеранів</w:t>
      </w:r>
      <w:proofErr w:type="spellEnd"/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i/>
          <w:iCs/>
          <w:color w:val="1155CD"/>
          <w:sz w:val="28"/>
          <w:szCs w:val="28"/>
        </w:rPr>
      </w:pPr>
      <w:r w:rsidRPr="0046246C">
        <w:rPr>
          <w:rFonts w:ascii="Times New Roman" w:hAnsi="Times New Roman" w:cs="Times New Roman"/>
          <w:i/>
          <w:iCs/>
          <w:color w:val="212529"/>
          <w:sz w:val="28"/>
          <w:szCs w:val="28"/>
        </w:rPr>
        <w:lastRenderedPageBreak/>
        <w:t xml:space="preserve">Проєкт реалізується відповідно до Постанови Кабінету Міністрів України </w:t>
      </w:r>
      <w:r w:rsidRPr="0046246C">
        <w:rPr>
          <w:rFonts w:ascii="Times New Roman" w:hAnsi="Times New Roman" w:cs="Times New Roman"/>
          <w:i/>
          <w:iCs/>
          <w:color w:val="1155CD"/>
          <w:sz w:val="28"/>
          <w:szCs w:val="28"/>
        </w:rPr>
        <w:t>від 7 листопада</w:t>
      </w:r>
    </w:p>
    <w:p w:rsidR="00AE7001" w:rsidRPr="0046246C" w:rsidRDefault="00AE7001" w:rsidP="0046246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46C">
        <w:rPr>
          <w:rFonts w:ascii="Times New Roman" w:hAnsi="Times New Roman" w:cs="Times New Roman"/>
          <w:i/>
          <w:iCs/>
          <w:color w:val="1155CD"/>
          <w:sz w:val="28"/>
          <w:szCs w:val="28"/>
        </w:rPr>
        <w:t>2025 р. № 1476</w:t>
      </w:r>
      <w:r w:rsidRPr="0046246C">
        <w:rPr>
          <w:rFonts w:ascii="Times New Roman" w:hAnsi="Times New Roman" w:cs="Times New Roman"/>
          <w:i/>
          <w:iCs/>
          <w:color w:val="1155CD"/>
          <w:sz w:val="28"/>
          <w:szCs w:val="28"/>
        </w:rPr>
        <w:t>(https://zakon.rada.gov.ua/laws/show/1476-2025-ï#Text)</w:t>
      </w:r>
      <w:r w:rsidRPr="0046246C">
        <w:rPr>
          <w:rFonts w:ascii="Times New Roman" w:hAnsi="Times New Roman" w:cs="Times New Roman"/>
          <w:i/>
          <w:iCs/>
          <w:color w:val="212529"/>
          <w:sz w:val="28"/>
          <w:szCs w:val="28"/>
        </w:rPr>
        <w:t>.</w:t>
      </w:r>
    </w:p>
    <w:sectPr w:rsidR="00AE7001" w:rsidRPr="004624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3E"/>
    <w:rsid w:val="0003683E"/>
    <w:rsid w:val="004435D0"/>
    <w:rsid w:val="0046246C"/>
    <w:rsid w:val="009C42CA"/>
    <w:rsid w:val="00AE7001"/>
    <w:rsid w:val="00F0745F"/>
    <w:rsid w:val="00FE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ECEC"/>
  <w15:chartTrackingRefBased/>
  <w15:docId w15:val="{67A5BD42-7C78-4D5B-B69A-A1D03E0C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4975</Words>
  <Characters>2837</Characters>
  <Application>Microsoft Office Word</Application>
  <DocSecurity>0</DocSecurity>
  <Lines>23</Lines>
  <Paragraphs>15</Paragraphs>
  <ScaleCrop>false</ScaleCrop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Дерев'янко Антон Сергійович</dc:creator>
  <cp:keywords/>
  <dc:description/>
  <cp:lastModifiedBy>Дерев'янко Антон Сергійович</cp:lastModifiedBy>
  <cp:revision>3</cp:revision>
  <dcterms:created xsi:type="dcterms:W3CDTF">2026-01-05T07:47:00Z</dcterms:created>
  <dcterms:modified xsi:type="dcterms:W3CDTF">2026-01-05T07:51:00Z</dcterms:modified>
</cp:coreProperties>
</file>